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74A8B">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14:paraId="0544D1B8">
      <w:pPr>
        <w:spacing w:line="580" w:lineRule="exact"/>
        <w:ind w:firstLine="720" w:firstLineChars="199"/>
        <w:rPr>
          <w:rFonts w:ascii="仿宋_GB2312" w:hAnsi="仿宋_GB2312" w:eastAsia="仿宋_GB2312" w:cs="仿宋_GB2312"/>
          <w:b/>
          <w:bCs/>
          <w:spacing w:val="-20"/>
          <w:sz w:val="40"/>
          <w:szCs w:val="48"/>
        </w:rPr>
      </w:pPr>
    </w:p>
    <w:p w14:paraId="580CA732">
      <w:pPr>
        <w:spacing w:line="580" w:lineRule="exact"/>
        <w:ind w:firstLine="720" w:firstLineChars="199"/>
        <w:jc w:val="center"/>
        <w:rPr>
          <w:rFonts w:ascii="仿宋_GB2312" w:hAnsi="仿宋_GB2312" w:eastAsia="仿宋_GB2312" w:cs="仿宋_GB2312"/>
          <w:b/>
          <w:bCs/>
          <w:spacing w:val="-20"/>
          <w:sz w:val="40"/>
          <w:szCs w:val="48"/>
        </w:rPr>
      </w:pPr>
      <w:r>
        <w:rPr>
          <w:rFonts w:hint="eastAsia" w:ascii="仿宋_GB2312" w:hAnsi="仿宋_GB2312" w:eastAsia="仿宋_GB2312" w:cs="仿宋_GB2312"/>
          <w:b/>
          <w:bCs/>
          <w:spacing w:val="-20"/>
          <w:sz w:val="40"/>
          <w:szCs w:val="48"/>
        </w:rPr>
        <w:t>隆尧县城关校区</w:t>
      </w:r>
    </w:p>
    <w:p w14:paraId="12E33426">
      <w:pPr>
        <w:spacing w:line="580" w:lineRule="exact"/>
        <w:ind w:firstLine="720"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pacing w:val="-20"/>
          <w:sz w:val="40"/>
          <w:szCs w:val="48"/>
        </w:rPr>
        <w:t>德兴路小学新建项目</w:t>
      </w:r>
      <w:r>
        <w:rPr>
          <w:rFonts w:hint="eastAsia" w:ascii="仿宋_GB2312" w:hAnsi="仿宋_GB2312" w:eastAsia="仿宋_GB2312" w:cs="仿宋_GB2312"/>
          <w:b/>
          <w:bCs/>
          <w:sz w:val="40"/>
          <w:szCs w:val="48"/>
        </w:rPr>
        <w:t>重点自评绩效报告</w:t>
      </w:r>
    </w:p>
    <w:p w14:paraId="7E96DC81">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14:paraId="4CB70004">
      <w:pPr>
        <w:rPr>
          <w:rFonts w:ascii="仿宋_GB2312" w:hAnsi="仿宋_GB2312" w:eastAsia="仿宋_GB2312" w:cs="仿宋_GB2312"/>
        </w:rPr>
      </w:pPr>
    </w:p>
    <w:p w14:paraId="4A1E2854">
      <w:pPr>
        <w:rPr>
          <w:rFonts w:ascii="仿宋_GB2312" w:hAnsi="仿宋_GB2312" w:eastAsia="仿宋_GB2312" w:cs="仿宋_GB2312"/>
        </w:rPr>
      </w:pPr>
    </w:p>
    <w:p w14:paraId="6FBE2B0A">
      <w:pPr>
        <w:rPr>
          <w:rFonts w:ascii="仿宋_GB2312" w:hAnsi="仿宋_GB2312" w:eastAsia="仿宋_GB2312" w:cs="仿宋_GB2312"/>
        </w:rPr>
      </w:pPr>
    </w:p>
    <w:p w14:paraId="0156D383">
      <w:pPr>
        <w:rPr>
          <w:rFonts w:ascii="仿宋_GB2312" w:hAnsi="仿宋_GB2312" w:eastAsia="仿宋_GB2312" w:cs="仿宋_GB2312"/>
        </w:rPr>
      </w:pPr>
    </w:p>
    <w:p w14:paraId="061EDD85">
      <w:pPr>
        <w:rPr>
          <w:rFonts w:ascii="仿宋_GB2312" w:hAnsi="仿宋_GB2312" w:eastAsia="仿宋_GB2312" w:cs="仿宋_GB2312"/>
        </w:rPr>
      </w:pPr>
    </w:p>
    <w:p w14:paraId="7F1DF65B">
      <w:pPr>
        <w:rPr>
          <w:rFonts w:ascii="仿宋_GB2312" w:hAnsi="仿宋_GB2312" w:eastAsia="仿宋_GB2312" w:cs="仿宋_GB2312"/>
        </w:rPr>
      </w:pPr>
    </w:p>
    <w:p w14:paraId="2DEA2012">
      <w:pPr>
        <w:rPr>
          <w:rFonts w:ascii="仿宋_GB2312" w:hAnsi="仿宋_GB2312" w:eastAsia="仿宋_GB2312" w:cs="仿宋_GB2312"/>
        </w:rPr>
      </w:pPr>
    </w:p>
    <w:p w14:paraId="0F1F20FC">
      <w:pPr>
        <w:pStyle w:val="2"/>
        <w:ind w:firstLine="560"/>
      </w:pPr>
    </w:p>
    <w:p w14:paraId="799A0D95"/>
    <w:p w14:paraId="4F6A3489">
      <w:pPr>
        <w:pStyle w:val="2"/>
        <w:ind w:firstLine="560"/>
      </w:pPr>
    </w:p>
    <w:p w14:paraId="1F05A24D"/>
    <w:p w14:paraId="65FF1A5D">
      <w:pPr>
        <w:pStyle w:val="2"/>
        <w:ind w:firstLine="560"/>
      </w:pPr>
    </w:p>
    <w:p w14:paraId="3621E1F0">
      <w:pPr>
        <w:spacing w:line="580" w:lineRule="exact"/>
        <w:rPr>
          <w:rFonts w:ascii="仿宋_GB2312" w:hAnsi="仿宋_GB2312" w:eastAsia="仿宋_GB2312" w:cs="仿宋_GB2312"/>
          <w:kern w:val="0"/>
          <w:sz w:val="32"/>
          <w:szCs w:val="32"/>
          <w:u w:val="single"/>
        </w:rPr>
      </w:pPr>
      <w:r>
        <w:rPr>
          <w:rFonts w:hint="eastAsia" w:ascii="仿宋_GB2312" w:hAnsi="仿宋_GB2312" w:eastAsia="仿宋_GB2312" w:cs="仿宋_GB2312"/>
          <w:spacing w:val="11"/>
          <w:sz w:val="32"/>
          <w:szCs w:val="32"/>
        </w:rPr>
        <w:t>项 目 名 称：</w:t>
      </w:r>
      <w:r>
        <w:rPr>
          <w:rFonts w:hint="eastAsia" w:ascii="仿宋_GB2312" w:hAnsi="仿宋_GB2312" w:eastAsia="仿宋_GB2312" w:cs="仿宋_GB2312"/>
          <w:kern w:val="0"/>
          <w:sz w:val="32"/>
          <w:szCs w:val="32"/>
          <w:u w:val="single"/>
        </w:rPr>
        <w:t xml:space="preserve">隆尧县城关校区德兴路小学新建项目  </w:t>
      </w:r>
    </w:p>
    <w:p w14:paraId="65CC86A6">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项目实施单位：</w:t>
      </w:r>
      <w:r>
        <w:rPr>
          <w:rFonts w:hint="eastAsia" w:ascii="仿宋_GB2312" w:hAnsi="仿宋_GB2312" w:eastAsia="仿宋_GB2312" w:cs="仿宋_GB2312"/>
          <w:kern w:val="0"/>
          <w:sz w:val="32"/>
          <w:szCs w:val="32"/>
          <w:u w:val="single"/>
        </w:rPr>
        <w:t>河北省第四建筑工程有限公司</w:t>
      </w:r>
    </w:p>
    <w:p w14:paraId="5FA7C65E">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pacing w:val="28"/>
          <w:sz w:val="32"/>
          <w:szCs w:val="32"/>
        </w:rPr>
        <w:t>项目总金额：</w:t>
      </w:r>
      <w:r>
        <w:rPr>
          <w:rFonts w:hint="eastAsia" w:ascii="仿宋_GB2312" w:hAnsi="仿宋_GB2312" w:eastAsia="仿宋_GB2312" w:cs="仿宋_GB2312"/>
          <w:color w:val="000000" w:themeColor="text1"/>
          <w:kern w:val="0"/>
          <w:sz w:val="32"/>
          <w:szCs w:val="32"/>
          <w:u w:val="single"/>
        </w:rPr>
        <w:t>1500万元</w:t>
      </w:r>
    </w:p>
    <w:p w14:paraId="447AB2DC">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pacing w:val="11"/>
          <w:sz w:val="32"/>
          <w:szCs w:val="32"/>
        </w:rPr>
        <w:t>评 价 年 度：</w:t>
      </w:r>
      <w:r>
        <w:rPr>
          <w:rFonts w:hint="eastAsia" w:ascii="仿宋_GB2312" w:hAnsi="仿宋_GB2312" w:eastAsia="仿宋_GB2312" w:cs="仿宋_GB2312"/>
          <w:sz w:val="32"/>
          <w:szCs w:val="32"/>
          <w:u w:val="single"/>
        </w:rPr>
        <w:t>2022年度</w:t>
      </w:r>
    </w:p>
    <w:p w14:paraId="6A423AF3">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pacing w:val="28"/>
          <w:sz w:val="32"/>
          <w:szCs w:val="32"/>
        </w:rPr>
        <w:t>评价组组长：</w:t>
      </w:r>
      <w:r>
        <w:rPr>
          <w:rFonts w:hint="eastAsia" w:ascii="仿宋_GB2312" w:hAnsi="仿宋_GB2312" w:eastAsia="仿宋_GB2312" w:cs="仿宋_GB2312"/>
          <w:spacing w:val="28"/>
          <w:sz w:val="32"/>
          <w:szCs w:val="32"/>
          <w:u w:val="single"/>
        </w:rPr>
        <w:t>郑计春</w:t>
      </w:r>
    </w:p>
    <w:p w14:paraId="2BE66445">
      <w:pPr>
        <w:spacing w:line="760" w:lineRule="exact"/>
        <w:rPr>
          <w:rFonts w:ascii="仿宋_GB2312" w:hAnsi="仿宋_GB2312" w:eastAsia="仿宋_GB2312" w:cs="仿宋_GB2312"/>
          <w:sz w:val="32"/>
          <w:szCs w:val="32"/>
        </w:rPr>
      </w:pPr>
      <w:r>
        <w:rPr>
          <w:rFonts w:hint="eastAsia" w:ascii="仿宋_GB2312" w:hAnsi="仿宋_GB2312" w:eastAsia="仿宋_GB2312" w:cs="仿宋_GB2312"/>
          <w:spacing w:val="28"/>
          <w:sz w:val="32"/>
          <w:szCs w:val="32"/>
        </w:rPr>
        <w:t>评价组成员：</w:t>
      </w:r>
      <w:r>
        <w:rPr>
          <w:rFonts w:hint="eastAsia" w:ascii="仿宋_GB2312" w:hAnsi="仿宋_GB2312" w:eastAsia="仿宋_GB2312" w:cs="仿宋_GB2312"/>
          <w:sz w:val="32"/>
          <w:szCs w:val="32"/>
          <w:u w:val="single"/>
        </w:rPr>
        <w:t xml:space="preserve">郑运华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雷宪法  李戈平  李志华  </w:t>
      </w:r>
      <w:bookmarkStart w:id="0" w:name="_Toc7470_WPSOffice_Level1"/>
      <w:bookmarkStart w:id="1" w:name="_Toc5909_WPSOffice_Level1"/>
    </w:p>
    <w:bookmarkEnd w:id="0"/>
    <w:bookmarkEnd w:id="1"/>
    <w:p w14:paraId="483E80E0">
      <w:pPr>
        <w:pStyle w:val="2"/>
        <w:spacing w:line="120" w:lineRule="exact"/>
        <w:ind w:firstLine="560"/>
        <w:rPr>
          <w:rFonts w:ascii="仿宋_GB2312" w:hAnsi="仿宋_GB2312" w:eastAsia="仿宋_GB2312" w:cs="仿宋_GB2312"/>
          <w:sz w:val="32"/>
          <w:szCs w:val="32"/>
        </w:rPr>
      </w:pPr>
    </w:p>
    <w:p w14:paraId="30A58D08">
      <w:pPr>
        <w:spacing w:line="580" w:lineRule="exact"/>
        <w:ind w:firstLine="643" w:firstLineChars="200"/>
        <w:outlineLvl w:val="0"/>
        <w:rPr>
          <w:rFonts w:ascii="仿宋_GB2312" w:hAnsi="仿宋_GB2312" w:eastAsia="仿宋_GB2312" w:cs="仿宋_GB2312"/>
          <w:b/>
          <w:bCs/>
          <w:sz w:val="32"/>
          <w:szCs w:val="40"/>
        </w:rPr>
      </w:pPr>
      <w:bookmarkStart w:id="2" w:name="_Toc6314"/>
      <w:bookmarkStart w:id="3" w:name="_Toc18334"/>
      <w:bookmarkStart w:id="4" w:name="_Toc16913"/>
      <w:bookmarkStart w:id="5" w:name="_Toc2245"/>
      <w:bookmarkStart w:id="6" w:name="_Toc13153"/>
      <w:bookmarkStart w:id="7" w:name="_Toc4013"/>
      <w:bookmarkStart w:id="8" w:name="_Toc23411"/>
      <w:bookmarkStart w:id="9" w:name="_Toc30335"/>
      <w:bookmarkStart w:id="10" w:name="_Toc9525"/>
      <w:bookmarkStart w:id="11" w:name="_Toc11301"/>
    </w:p>
    <w:p w14:paraId="3AC5FB3A">
      <w:pPr>
        <w:spacing w:line="580" w:lineRule="exact"/>
        <w:ind w:firstLine="643" w:firstLineChars="200"/>
        <w:outlineLvl w:val="0"/>
        <w:rPr>
          <w:rFonts w:hint="eastAsia" w:ascii="仿宋国标2312" w:hAnsi="仿宋_GB2312" w:eastAsia="仿宋国标2312" w:cs="仿宋_GB2312"/>
          <w:b/>
          <w:bCs/>
          <w:sz w:val="32"/>
          <w:szCs w:val="32"/>
        </w:rPr>
      </w:pPr>
      <w:r>
        <w:rPr>
          <w:rFonts w:hint="eastAsia" w:ascii="仿宋国标2312" w:hAnsi="仿宋_GB2312" w:eastAsia="仿宋国标2312" w:cs="仿宋_GB2312"/>
          <w:b/>
          <w:bCs/>
          <w:sz w:val="32"/>
          <w:szCs w:val="32"/>
        </w:rPr>
        <w:t>一、项目概况</w:t>
      </w:r>
      <w:bookmarkEnd w:id="2"/>
      <w:bookmarkEnd w:id="3"/>
      <w:bookmarkEnd w:id="4"/>
      <w:bookmarkEnd w:id="5"/>
      <w:bookmarkEnd w:id="6"/>
      <w:bookmarkEnd w:id="7"/>
      <w:bookmarkEnd w:id="8"/>
      <w:bookmarkEnd w:id="9"/>
      <w:bookmarkEnd w:id="10"/>
      <w:bookmarkEnd w:id="11"/>
    </w:p>
    <w:p w14:paraId="67831B25">
      <w:pPr>
        <w:spacing w:line="580" w:lineRule="exact"/>
        <w:ind w:firstLine="640" w:firstLineChars="200"/>
        <w:outlineLvl w:val="1"/>
        <w:rPr>
          <w:rFonts w:hint="eastAsia" w:ascii="仿宋国标2312" w:hAnsi="仿宋_GB2312" w:eastAsia="仿宋国标2312" w:cs="仿宋_GB2312"/>
          <w:sz w:val="32"/>
          <w:szCs w:val="32"/>
        </w:rPr>
      </w:pPr>
      <w:bookmarkStart w:id="12" w:name="_Toc30895"/>
      <w:bookmarkStart w:id="13" w:name="_Toc19370"/>
      <w:bookmarkStart w:id="14" w:name="_Toc24784"/>
      <w:bookmarkStart w:id="15" w:name="_Toc19963"/>
      <w:bookmarkStart w:id="16" w:name="_Toc23957"/>
      <w:bookmarkStart w:id="17" w:name="_Toc937"/>
      <w:bookmarkStart w:id="18" w:name="_Toc32742"/>
      <w:bookmarkStart w:id="19" w:name="_Toc15831"/>
      <w:bookmarkStart w:id="20" w:name="_Toc22453"/>
      <w:bookmarkStart w:id="21" w:name="_Toc22285"/>
      <w:r>
        <w:rPr>
          <w:rFonts w:hint="eastAsia" w:ascii="仿宋国标2312" w:hAnsi="仿宋_GB2312" w:eastAsia="仿宋国标2312" w:cs="仿宋_GB2312"/>
          <w:sz w:val="32"/>
          <w:szCs w:val="32"/>
        </w:rPr>
        <w:t>（一）项目单位基本情况</w:t>
      </w:r>
      <w:bookmarkEnd w:id="12"/>
      <w:bookmarkEnd w:id="13"/>
      <w:bookmarkEnd w:id="14"/>
      <w:bookmarkEnd w:id="15"/>
      <w:bookmarkEnd w:id="16"/>
      <w:bookmarkEnd w:id="17"/>
      <w:bookmarkEnd w:id="18"/>
      <w:bookmarkEnd w:id="19"/>
      <w:bookmarkEnd w:id="20"/>
      <w:bookmarkEnd w:id="21"/>
    </w:p>
    <w:p w14:paraId="65FE71B5">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隆尧县城关校区位于隆尧县隆尧镇东关村，为隆尧县教育局下属事业单位，宗旨和业务范围为做好辖区内各小学幼儿园管理工作。校区秉承以实施素质教育为核心，以规范管理为重点，以质量效益为主题，以学校布局调整和新课程改造为契机，坚持以人为本，促进学生教师学校全面和谐发展的办学目标，以开放、民主、和谐、发展的精神引领学校各项工作健康开展。校区积极实施“规范化、现代化、特色化”的办学管理思想，推行民主化、人性化、制度化、精细化的管理模式，把提高教育教学质量作为工作中心，把培养学生创新精神、综合素质、良好的思想品质作为重点，校区以建立高尚的师德师风和转变教育管理人员的工作作风为突破口，加快教育现代化和教育教学改革步伐，推动了学校各项工作的快速发展，为培养新世纪人才奠定了扎实的基础。</w:t>
      </w:r>
    </w:p>
    <w:p w14:paraId="156027C6">
      <w:pPr>
        <w:spacing w:line="580" w:lineRule="exact"/>
        <w:outlineLvl w:val="1"/>
        <w:rPr>
          <w:rFonts w:hint="eastAsia" w:ascii="仿宋国标2312" w:hAnsi="仿宋_GB2312" w:eastAsia="仿宋国标2312" w:cs="仿宋_GB2312"/>
          <w:color w:val="000000" w:themeColor="text1"/>
          <w:sz w:val="32"/>
          <w:szCs w:val="32"/>
        </w:rPr>
      </w:pPr>
      <w:bookmarkStart w:id="22" w:name="_Toc8843"/>
      <w:bookmarkStart w:id="23" w:name="_Toc29308"/>
      <w:bookmarkStart w:id="24" w:name="_Toc15167"/>
      <w:r>
        <w:rPr>
          <w:rFonts w:hint="eastAsia" w:ascii="仿宋国标2312" w:hAnsi="仿宋_GB2312" w:eastAsia="仿宋国标2312" w:cs="仿宋_GB2312"/>
          <w:color w:val="000000" w:themeColor="text1"/>
          <w:sz w:val="32"/>
          <w:szCs w:val="32"/>
        </w:rPr>
        <w:t>（二）</w:t>
      </w:r>
      <w:r>
        <w:rPr>
          <w:rFonts w:hint="eastAsia" w:ascii="仿宋国标2312" w:hAnsi="仿宋_GB2312" w:eastAsia="仿宋国标2312" w:cs="仿宋_GB2312"/>
          <w:b/>
          <w:color w:val="000000" w:themeColor="text1"/>
          <w:sz w:val="32"/>
          <w:szCs w:val="32"/>
        </w:rPr>
        <w:t>项目基本情况</w:t>
      </w:r>
      <w:bookmarkEnd w:id="22"/>
      <w:bookmarkEnd w:id="23"/>
      <w:bookmarkEnd w:id="24"/>
    </w:p>
    <w:p w14:paraId="54F61646">
      <w:pPr>
        <w:spacing w:line="580" w:lineRule="exact"/>
        <w:ind w:firstLine="640" w:firstLineChars="200"/>
        <w:outlineLvl w:val="1"/>
        <w:rPr>
          <w:rFonts w:hint="eastAsia" w:ascii="仿宋国标2312" w:eastAsia="仿宋国标2312" w:cs="仿宋"/>
          <w:color w:val="000000" w:themeColor="text1"/>
          <w:kern w:val="0"/>
          <w:sz w:val="32"/>
          <w:szCs w:val="32"/>
        </w:rPr>
      </w:pPr>
      <w:bookmarkStart w:id="25" w:name="_Toc17782"/>
      <w:bookmarkStart w:id="26" w:name="_Toc2988"/>
      <w:bookmarkStart w:id="27" w:name="_Toc6781"/>
      <w:bookmarkStart w:id="28" w:name="_Toc18992"/>
      <w:bookmarkStart w:id="29" w:name="_Toc26109"/>
      <w:bookmarkStart w:id="30" w:name="_Toc4859"/>
      <w:bookmarkStart w:id="31" w:name="_Toc28908"/>
      <w:bookmarkStart w:id="32" w:name="_Toc14644"/>
      <w:bookmarkStart w:id="33" w:name="_Toc7839"/>
      <w:bookmarkStart w:id="34" w:name="_Toc12860"/>
      <w:r>
        <w:rPr>
          <w:rFonts w:hint="eastAsia" w:ascii="仿宋国标2312" w:eastAsia="仿宋国标2312"/>
          <w:color w:val="000000" w:themeColor="text1"/>
          <w:sz w:val="32"/>
          <w:szCs w:val="32"/>
        </w:rPr>
        <w:t>隆尧县城关校区德兴路小学新建项目位于德兴路与隆平街交叉口，由河北省第四建筑工程有限公司于2022年6月25日中标并承建，中标价4473.08万元。本项目为EPC项目，2022年7月1日开始建设。</w:t>
      </w:r>
      <w:r>
        <w:rPr>
          <w:rFonts w:hint="eastAsia" w:ascii="仿宋国标2312" w:eastAsia="仿宋国标2312" w:hAnsiTheme="minorEastAsia" w:cstheme="minorEastAsia"/>
          <w:color w:val="000000" w:themeColor="text1"/>
          <w:sz w:val="32"/>
          <w:szCs w:val="32"/>
        </w:rPr>
        <w:t>项目占地60亩，总建筑面积12178.39平方米，建设6轨制标准小学。</w:t>
      </w:r>
      <w:r>
        <w:rPr>
          <w:rFonts w:hint="eastAsia" w:ascii="仿宋国标2312" w:eastAsia="仿宋国标2312"/>
          <w:color w:val="000000" w:themeColor="text1"/>
          <w:sz w:val="32"/>
          <w:szCs w:val="32"/>
        </w:rPr>
        <w:t>具体项目包括：新建综合楼为四层框架结构建筑，面积为9824.51平方米；餐厅为二层框架结构，建筑面积1939.1平方米,消防水池及泵房地上一层地下一层，建筑面积86.96平方米；看台建筑面积256平方米；门卫一建筑面积为20.74平方米，门卫二建筑面积为51.08平方米，标准操场一座，室外工程及景观绿化等。计划2023年9月1日投入使用。该项目监理单位是河北齐翔工程项目管理有限公司，合同金额515000元。</w:t>
      </w:r>
      <w:bookmarkStart w:id="96" w:name="_GoBack"/>
      <w:bookmarkEnd w:id="96"/>
      <w:r>
        <w:rPr>
          <w:rFonts w:hint="eastAsia" w:ascii="仿宋国标2312" w:eastAsia="仿宋国标2312" w:cs="仿宋"/>
          <w:color w:val="000000" w:themeColor="text1"/>
          <w:kern w:val="0"/>
          <w:sz w:val="32"/>
          <w:szCs w:val="32"/>
          <w:lang w:eastAsia="zh-CN"/>
        </w:rPr>
        <w:t>截至目前</w:t>
      </w:r>
      <w:r>
        <w:rPr>
          <w:rFonts w:hint="eastAsia" w:ascii="仿宋国标2312" w:eastAsia="仿宋国标2312" w:cs="仿宋"/>
          <w:color w:val="000000" w:themeColor="text1"/>
          <w:kern w:val="0"/>
          <w:sz w:val="32"/>
          <w:szCs w:val="32"/>
        </w:rPr>
        <w:t>共支付工程建设预付款1341.92万元，</w:t>
      </w:r>
    </w:p>
    <w:p w14:paraId="65D3B5E0">
      <w:pPr>
        <w:pStyle w:val="2"/>
        <w:ind w:firstLine="562"/>
        <w:rPr>
          <w:rFonts w:hint="eastAsia" w:ascii="仿宋国标2312" w:hAnsi="仿宋_GB2312" w:eastAsia="仿宋国标2312" w:cs="仿宋_GB2312"/>
          <w:b/>
          <w:bCs/>
          <w:color w:val="000000" w:themeColor="text1"/>
          <w:sz w:val="32"/>
          <w:szCs w:val="32"/>
        </w:rPr>
      </w:pPr>
      <w:r>
        <w:rPr>
          <w:rFonts w:hint="eastAsia" w:ascii="仿宋国标2312" w:hAnsi="仿宋_GB2312" w:eastAsia="仿宋国标2312" w:cs="仿宋_GB2312"/>
          <w:b/>
          <w:bCs/>
          <w:color w:val="000000" w:themeColor="text1"/>
          <w:sz w:val="32"/>
          <w:szCs w:val="32"/>
        </w:rPr>
        <w:t>二、项目实施情况</w:t>
      </w:r>
      <w:bookmarkEnd w:id="25"/>
      <w:bookmarkEnd w:id="26"/>
      <w:bookmarkEnd w:id="27"/>
      <w:bookmarkEnd w:id="28"/>
      <w:bookmarkEnd w:id="29"/>
      <w:bookmarkEnd w:id="30"/>
      <w:bookmarkEnd w:id="31"/>
      <w:bookmarkEnd w:id="32"/>
      <w:bookmarkEnd w:id="33"/>
      <w:bookmarkEnd w:id="34"/>
    </w:p>
    <w:p w14:paraId="6A7C9EFA">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本项目由隆尧县限额交易系统选取勘察、设计、造价等前期咨询单位，通过公开招标的方式选取施工、监理中标单位。严格按照国家及省市县相关要求进行财务管理，执行国家有关法律、法规和财务规章制度，坚持勤俭办一切事业的方针，在单位负责人的领导下，由单位财务部门统一管理。</w:t>
      </w:r>
    </w:p>
    <w:p w14:paraId="68A0A16F">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截至目前项目投资完成1210万元，</w:t>
      </w:r>
    </w:p>
    <w:p w14:paraId="7836A125">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综合楼：地下工程完成，一层主体完成；</w:t>
      </w:r>
    </w:p>
    <w:p w14:paraId="256BA9CC">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餐厅：地下工程完成。</w:t>
      </w:r>
    </w:p>
    <w:p w14:paraId="128D299C">
      <w:pPr>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 xml:space="preserve">   消防水池及泵房：主体结构完成，地下防水完成，回填土完成，地下工程抹灰完成。</w:t>
      </w:r>
    </w:p>
    <w:p w14:paraId="0301C3D7">
      <w:pPr>
        <w:pStyle w:val="2"/>
        <w:ind w:firstLine="960" w:firstLineChars="300"/>
        <w:rPr>
          <w:rFonts w:hint="eastAsia" w:ascii="仿宋国标2312" w:eastAsia="仿宋国标2312"/>
          <w:color w:val="000000" w:themeColor="text1"/>
          <w:sz w:val="32"/>
          <w:szCs w:val="32"/>
        </w:rPr>
      </w:pPr>
      <w:r>
        <w:rPr>
          <w:rFonts w:hint="eastAsia" w:ascii="仿宋国标2312" w:eastAsia="仿宋国标2312" w:cstheme="minorBidi"/>
          <w:color w:val="000000" w:themeColor="text1"/>
          <w:sz w:val="32"/>
          <w:szCs w:val="32"/>
        </w:rPr>
        <w:t>超大土坑夯填完成。</w:t>
      </w:r>
    </w:p>
    <w:p w14:paraId="0FD00537">
      <w:pPr>
        <w:pStyle w:val="2"/>
        <w:ind w:firstLine="560"/>
        <w:rPr>
          <w:rFonts w:hint="eastAsia" w:ascii="仿宋国标2312" w:eastAsia="仿宋国标2312"/>
          <w:color w:val="000000" w:themeColor="text1"/>
          <w:sz w:val="32"/>
          <w:szCs w:val="32"/>
        </w:rPr>
      </w:pPr>
      <w:r>
        <w:rPr>
          <w:rFonts w:hint="eastAsia" w:ascii="仿宋国标2312" w:hAnsi="仿宋_GB2312" w:eastAsia="仿宋国标2312" w:cs="仿宋_GB2312"/>
          <w:color w:val="000000" w:themeColor="text1"/>
          <w:sz w:val="32"/>
          <w:szCs w:val="32"/>
        </w:rPr>
        <w:t>财务管理情况良好。</w:t>
      </w:r>
    </w:p>
    <w:p w14:paraId="5AA00BBF">
      <w:pPr>
        <w:spacing w:line="580" w:lineRule="exact"/>
        <w:ind w:firstLine="643" w:firstLineChars="200"/>
        <w:outlineLvl w:val="0"/>
        <w:rPr>
          <w:rFonts w:hint="eastAsia" w:ascii="仿宋国标2312" w:hAnsi="仿宋_GB2312" w:eastAsia="仿宋国标2312" w:cs="仿宋_GB2312"/>
          <w:b/>
          <w:bCs/>
          <w:color w:val="000000" w:themeColor="text1"/>
          <w:sz w:val="32"/>
          <w:szCs w:val="32"/>
        </w:rPr>
      </w:pPr>
      <w:bookmarkStart w:id="35" w:name="_Toc29800"/>
      <w:bookmarkStart w:id="36" w:name="_Toc10651"/>
      <w:bookmarkStart w:id="37" w:name="_Toc6451"/>
      <w:bookmarkStart w:id="38" w:name="_Toc21501"/>
      <w:bookmarkStart w:id="39" w:name="_Toc12150"/>
      <w:bookmarkStart w:id="40" w:name="_Toc5317"/>
      <w:bookmarkStart w:id="41" w:name="_Toc20904"/>
      <w:bookmarkStart w:id="42" w:name="_Toc5215"/>
      <w:bookmarkStart w:id="43" w:name="_Toc26855"/>
      <w:bookmarkStart w:id="44" w:name="_Toc18915"/>
      <w:r>
        <w:rPr>
          <w:rFonts w:hint="eastAsia" w:ascii="仿宋国标2312" w:hAnsi="仿宋_GB2312" w:eastAsia="仿宋国标2312" w:cs="仿宋_GB2312"/>
          <w:b/>
          <w:bCs/>
          <w:color w:val="000000" w:themeColor="text1"/>
          <w:sz w:val="32"/>
          <w:szCs w:val="32"/>
        </w:rPr>
        <w:t>三、绩效评价工作情况</w:t>
      </w:r>
      <w:bookmarkEnd w:id="35"/>
      <w:bookmarkEnd w:id="36"/>
      <w:bookmarkEnd w:id="37"/>
      <w:bookmarkEnd w:id="38"/>
      <w:bookmarkEnd w:id="39"/>
      <w:bookmarkEnd w:id="40"/>
      <w:bookmarkEnd w:id="41"/>
      <w:bookmarkEnd w:id="42"/>
      <w:bookmarkEnd w:id="43"/>
      <w:bookmarkEnd w:id="44"/>
    </w:p>
    <w:p w14:paraId="7C8DDC6C">
      <w:pPr>
        <w:spacing w:line="580" w:lineRule="exact"/>
        <w:ind w:firstLine="640" w:firstLineChars="200"/>
        <w:outlineLvl w:val="1"/>
        <w:rPr>
          <w:rFonts w:hint="eastAsia" w:ascii="仿宋国标2312" w:hAnsi="仿宋_GB2312" w:eastAsia="仿宋国标2312" w:cs="仿宋_GB2312"/>
          <w:color w:val="000000" w:themeColor="text1"/>
          <w:sz w:val="32"/>
          <w:szCs w:val="32"/>
        </w:rPr>
      </w:pPr>
      <w:bookmarkStart w:id="45" w:name="_Toc15730"/>
      <w:bookmarkStart w:id="46" w:name="_Toc14742"/>
      <w:bookmarkStart w:id="47" w:name="_Toc17355"/>
      <w:bookmarkStart w:id="48" w:name="_Toc23608"/>
      <w:bookmarkStart w:id="49" w:name="_Toc22771"/>
      <w:bookmarkStart w:id="50" w:name="_Toc5105"/>
      <w:bookmarkStart w:id="51" w:name="_Toc4056"/>
      <w:bookmarkStart w:id="52" w:name="_Toc25600"/>
      <w:bookmarkStart w:id="53" w:name="_Toc8077"/>
      <w:bookmarkStart w:id="54" w:name="_Toc7570"/>
      <w:r>
        <w:rPr>
          <w:rFonts w:hint="eastAsia" w:ascii="仿宋国标2312" w:hAnsi="仿宋_GB2312" w:eastAsia="仿宋国标2312" w:cs="仿宋_GB2312"/>
          <w:color w:val="000000" w:themeColor="text1"/>
          <w:sz w:val="32"/>
          <w:szCs w:val="32"/>
        </w:rPr>
        <w:t>（一）评价目的</w:t>
      </w:r>
      <w:bookmarkEnd w:id="45"/>
      <w:bookmarkEnd w:id="46"/>
      <w:bookmarkEnd w:id="47"/>
      <w:bookmarkEnd w:id="48"/>
      <w:bookmarkEnd w:id="49"/>
      <w:bookmarkEnd w:id="50"/>
      <w:bookmarkEnd w:id="51"/>
      <w:bookmarkEnd w:id="52"/>
      <w:bookmarkEnd w:id="53"/>
      <w:bookmarkEnd w:id="54"/>
    </w:p>
    <w:p w14:paraId="0ACAD01B">
      <w:pPr>
        <w:spacing w:line="580" w:lineRule="exact"/>
        <w:ind w:firstLine="640" w:firstLineChars="200"/>
        <w:outlineLvl w:val="1"/>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通过对隆尧县城关校区德兴路小学新建项目资金进行绩效评价，了解和掌握项目决策情况、具体实施情况，从评价中发现问题，认真整改，及时调整和完善单位工作计划和绩效目标并加强管理。</w:t>
      </w:r>
    </w:p>
    <w:p w14:paraId="49E0215C">
      <w:pPr>
        <w:numPr>
          <w:ilvl w:val="0"/>
          <w:numId w:val="1"/>
        </w:numPr>
        <w:spacing w:line="580" w:lineRule="exact"/>
        <w:ind w:firstLine="640" w:firstLineChars="200"/>
        <w:outlineLvl w:val="1"/>
        <w:rPr>
          <w:rFonts w:hint="eastAsia" w:ascii="仿宋国标2312" w:hAnsi="仿宋_GB2312" w:eastAsia="仿宋国标2312" w:cs="仿宋_GB2312"/>
          <w:color w:val="000000" w:themeColor="text1"/>
          <w:sz w:val="32"/>
          <w:szCs w:val="32"/>
        </w:rPr>
      </w:pPr>
      <w:bookmarkStart w:id="55" w:name="_Toc8288"/>
      <w:bookmarkStart w:id="56" w:name="_Toc25746"/>
      <w:bookmarkStart w:id="57" w:name="_Toc30351"/>
      <w:bookmarkStart w:id="58" w:name="_Toc3910"/>
      <w:bookmarkStart w:id="59" w:name="_Toc16121"/>
      <w:bookmarkStart w:id="60" w:name="_Toc27199"/>
      <w:bookmarkStart w:id="61" w:name="_Toc22727"/>
      <w:bookmarkStart w:id="62" w:name="_Toc27346"/>
      <w:bookmarkStart w:id="63" w:name="_Toc18502"/>
      <w:bookmarkStart w:id="64" w:name="_Toc16971"/>
      <w:r>
        <w:rPr>
          <w:rFonts w:hint="eastAsia" w:ascii="仿宋国标2312" w:hAnsi="仿宋_GB2312" w:eastAsia="仿宋国标2312" w:cs="仿宋_GB2312"/>
          <w:color w:val="000000" w:themeColor="text1"/>
          <w:sz w:val="32"/>
          <w:szCs w:val="32"/>
        </w:rPr>
        <w:t>评价指标</w:t>
      </w:r>
      <w:bookmarkEnd w:id="55"/>
      <w:bookmarkEnd w:id="56"/>
      <w:bookmarkEnd w:id="57"/>
      <w:bookmarkEnd w:id="58"/>
      <w:bookmarkEnd w:id="59"/>
      <w:bookmarkEnd w:id="60"/>
      <w:bookmarkEnd w:id="61"/>
      <w:bookmarkEnd w:id="62"/>
      <w:bookmarkEnd w:id="63"/>
      <w:bookmarkEnd w:id="64"/>
      <w:r>
        <w:rPr>
          <w:rFonts w:hint="eastAsia" w:ascii="仿宋国标2312" w:hAnsi="仿宋_GB2312" w:eastAsia="仿宋国标2312" w:cs="仿宋_GB2312"/>
          <w:color w:val="000000" w:themeColor="text1"/>
          <w:sz w:val="32"/>
          <w:szCs w:val="32"/>
        </w:rPr>
        <w:t>设定隆尧县城关校区德兴路小学新建项目重点绩效评价指标表，如下表。</w:t>
      </w:r>
    </w:p>
    <w:p w14:paraId="156A98D9">
      <w:pPr>
        <w:spacing w:line="580" w:lineRule="exact"/>
        <w:ind w:firstLine="640" w:firstLineChars="200"/>
        <w:outlineLvl w:val="1"/>
        <w:rPr>
          <w:rFonts w:hint="eastAsia" w:ascii="仿宋国标2312" w:hAnsi="仿宋_GB2312" w:eastAsia="仿宋国标2312" w:cs="仿宋_GB2312"/>
          <w:color w:val="000000" w:themeColor="text1"/>
          <w:sz w:val="32"/>
          <w:szCs w:val="32"/>
        </w:rPr>
      </w:pPr>
      <w:bookmarkStart w:id="65" w:name="_Toc5587"/>
      <w:bookmarkStart w:id="66" w:name="_Toc19154"/>
      <w:bookmarkStart w:id="67" w:name="_Toc19068"/>
      <w:bookmarkStart w:id="68" w:name="_Toc12572"/>
      <w:bookmarkStart w:id="69" w:name="_Toc5304"/>
      <w:bookmarkStart w:id="70" w:name="_Toc25343"/>
      <w:bookmarkStart w:id="71" w:name="_Toc32306"/>
      <w:bookmarkStart w:id="72" w:name="_Toc23270"/>
      <w:bookmarkStart w:id="73" w:name="_Toc32241"/>
      <w:bookmarkStart w:id="74" w:name="_Toc11684"/>
      <w:r>
        <w:rPr>
          <w:rFonts w:hint="eastAsia" w:ascii="仿宋国标2312" w:hAnsi="仿宋_GB2312" w:eastAsia="仿宋国标2312" w:cs="仿宋_GB2312"/>
          <w:color w:val="000000" w:themeColor="text1"/>
          <w:sz w:val="32"/>
          <w:szCs w:val="32"/>
        </w:rPr>
        <w:t>（三）评价依据</w:t>
      </w:r>
      <w:bookmarkEnd w:id="65"/>
      <w:bookmarkEnd w:id="66"/>
      <w:bookmarkEnd w:id="67"/>
      <w:bookmarkEnd w:id="68"/>
      <w:bookmarkEnd w:id="69"/>
      <w:bookmarkEnd w:id="70"/>
      <w:bookmarkEnd w:id="71"/>
      <w:bookmarkEnd w:id="72"/>
      <w:bookmarkEnd w:id="73"/>
      <w:bookmarkEnd w:id="74"/>
    </w:p>
    <w:p w14:paraId="0D8151E1">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1、《中华人民共和国预算法》</w:t>
      </w:r>
    </w:p>
    <w:p w14:paraId="182839C5">
      <w:pPr>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 xml:space="preserve">    2、《中华人民共和国会计法》</w:t>
      </w:r>
    </w:p>
    <w:p w14:paraId="658A4FF9">
      <w:pPr>
        <w:ind w:firstLine="640" w:firstLineChars="20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3、《中华人民共和国教育法》</w:t>
      </w:r>
    </w:p>
    <w:p w14:paraId="726939B7">
      <w:pPr>
        <w:ind w:firstLine="640" w:firstLineChars="20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4、《财政检查工作办法》（财政部令 [2006]32号）</w:t>
      </w:r>
    </w:p>
    <w:p w14:paraId="37C25AC4">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5、《财政部关于印发&lt;项目支出绩效评价管理办法&gt;的通知》(财预[2020]10号)</w:t>
      </w:r>
    </w:p>
    <w:p w14:paraId="32501293">
      <w:pPr>
        <w:ind w:firstLine="640" w:firstLineChars="20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6、《中共隆尧县委 隆尧县人民政府关于全面落实预算绩效管理的实施意见》（隆发 [2019] 15号）</w:t>
      </w:r>
    </w:p>
    <w:p w14:paraId="496940CB">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7、《隆尧县县级预算绩效重点评价管理办法》（隆财[2020]143号）</w:t>
      </w:r>
    </w:p>
    <w:p w14:paraId="2552E97D">
      <w:pPr>
        <w:spacing w:line="580" w:lineRule="exact"/>
        <w:ind w:firstLine="640" w:firstLineChars="200"/>
        <w:rPr>
          <w:rFonts w:hint="eastAsia" w:ascii="仿宋国标2312" w:hAnsi="仿宋_GB2312" w:eastAsia="仿宋国标2312" w:cs="仿宋_GB2312"/>
          <w:color w:val="000000" w:themeColor="text1"/>
          <w:sz w:val="32"/>
          <w:szCs w:val="32"/>
        </w:rPr>
      </w:pPr>
      <w:bookmarkStart w:id="75" w:name="_Toc22038"/>
      <w:bookmarkStart w:id="76" w:name="_Toc11243"/>
      <w:bookmarkStart w:id="77" w:name="_Toc24302"/>
      <w:bookmarkStart w:id="78" w:name="_Toc6747"/>
      <w:bookmarkStart w:id="79" w:name="_Toc13179"/>
      <w:bookmarkStart w:id="80" w:name="_Toc1868"/>
      <w:bookmarkStart w:id="81" w:name="_Toc26780"/>
      <w:bookmarkStart w:id="82" w:name="_Toc12940"/>
      <w:bookmarkStart w:id="83" w:name="_Toc7393"/>
      <w:bookmarkStart w:id="84" w:name="_Toc9401"/>
      <w:r>
        <w:rPr>
          <w:rFonts w:hint="eastAsia" w:ascii="仿宋国标2312" w:hAnsi="仿宋_GB2312" w:eastAsia="仿宋国标2312" w:cs="仿宋_GB2312"/>
          <w:color w:val="000000" w:themeColor="text1"/>
          <w:sz w:val="32"/>
          <w:szCs w:val="32"/>
        </w:rPr>
        <w:t>（四）评价的主要方法及等级设定</w:t>
      </w:r>
      <w:bookmarkEnd w:id="75"/>
      <w:bookmarkEnd w:id="76"/>
      <w:bookmarkEnd w:id="77"/>
      <w:bookmarkEnd w:id="78"/>
      <w:bookmarkEnd w:id="79"/>
      <w:bookmarkEnd w:id="80"/>
      <w:bookmarkEnd w:id="81"/>
      <w:bookmarkEnd w:id="82"/>
      <w:bookmarkEnd w:id="83"/>
      <w:bookmarkEnd w:id="84"/>
    </w:p>
    <w:p w14:paraId="494AA906">
      <w:pPr>
        <w:spacing w:line="580" w:lineRule="exact"/>
        <w:ind w:firstLine="640" w:firstLineChars="200"/>
        <w:rPr>
          <w:rFonts w:hint="eastAsia" w:ascii="仿宋国标2312" w:hAnsi="仿宋_GB2312" w:eastAsia="仿宋国标2312" w:cs="仿宋_GB2312"/>
          <w:color w:val="000000" w:themeColor="text1"/>
          <w:kern w:val="0"/>
          <w:sz w:val="32"/>
          <w:szCs w:val="32"/>
          <w:shd w:val="clear" w:color="auto" w:fill="FFFFFF"/>
        </w:rPr>
      </w:pPr>
      <w:r>
        <w:rPr>
          <w:rStyle w:val="9"/>
          <w:rFonts w:hint="eastAsia" w:ascii="仿宋国标2312" w:hAnsi="宋体" w:eastAsia="仿宋国标2312" w:cs="仿宋_GB2312"/>
          <w:b w:val="0"/>
          <w:bCs/>
          <w:color w:val="000000" w:themeColor="text1"/>
          <w:sz w:val="32"/>
          <w:szCs w:val="32"/>
        </w:rPr>
        <w:t>根据相关</w:t>
      </w:r>
      <w:r>
        <w:rPr>
          <w:rFonts w:hint="eastAsia" w:ascii="仿宋国标2312" w:hAnsi="仿宋_GB2312" w:eastAsia="仿宋国标2312" w:cs="仿宋_GB2312"/>
          <w:color w:val="000000" w:themeColor="text1"/>
          <w:sz w:val="32"/>
          <w:szCs w:val="32"/>
          <w:shd w:val="clear" w:color="auto" w:fill="FFFFFF"/>
        </w:rPr>
        <w:t>要求，评价工作将</w:t>
      </w:r>
      <w:r>
        <w:rPr>
          <w:rFonts w:hint="eastAsia" w:ascii="仿宋国标2312" w:hAnsi="宋体" w:eastAsia="仿宋国标2312" w:cs="仿宋_GB2312"/>
          <w:color w:val="000000" w:themeColor="text1"/>
          <w:kern w:val="0"/>
          <w:sz w:val="32"/>
          <w:szCs w:val="32"/>
        </w:rPr>
        <w:t>网络评价与现场评价相结合；数字资料与纸质资料评价相结合；会计资料评价与工程技术资料评价相结合</w:t>
      </w:r>
      <w:r>
        <w:rPr>
          <w:rFonts w:hint="eastAsia" w:ascii="仿宋国标2312" w:hAnsi="仿宋_GB2312" w:eastAsia="仿宋国标2312" w:cs="仿宋_GB2312"/>
          <w:color w:val="000000" w:themeColor="text1"/>
          <w:kern w:val="0"/>
          <w:sz w:val="32"/>
          <w:szCs w:val="32"/>
          <w:shd w:val="clear" w:color="auto" w:fill="FFFFFF"/>
        </w:rPr>
        <w:t>。</w:t>
      </w:r>
    </w:p>
    <w:p w14:paraId="410FD6F2">
      <w:pPr>
        <w:tabs>
          <w:tab w:val="left" w:pos="420"/>
        </w:tabs>
        <w:spacing w:line="580" w:lineRule="exact"/>
        <w:ind w:firstLine="640" w:firstLineChars="200"/>
        <w:jc w:val="left"/>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1.在听取隆尧县城关校区对项目实施情况汇报的基础上，核实相关资料的真实性、合法性、合理性，对项目资料中反映的或分析中发现的问题进行重点核查。</w:t>
      </w:r>
    </w:p>
    <w:p w14:paraId="6AF0E63C">
      <w:pPr>
        <w:tabs>
          <w:tab w:val="left" w:pos="420"/>
        </w:tabs>
        <w:spacing w:line="580" w:lineRule="exact"/>
        <w:ind w:firstLine="640" w:firstLineChars="200"/>
        <w:jc w:val="left"/>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2.实地检查的形式：采取座谈、现场核实、走访、调查问卷、查阅资料等方式。</w:t>
      </w:r>
    </w:p>
    <w:p w14:paraId="4BAFE9F3">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3.综合评价。评价组在全面分析整理被评价项目的相关数据资料的基础上，总结评价情况，对照评价指标和标准，进行综合评议与打分，得出评价结论，撰写评价报告。</w:t>
      </w:r>
    </w:p>
    <w:p w14:paraId="40F403AE">
      <w:pPr>
        <w:spacing w:line="480" w:lineRule="exact"/>
        <w:ind w:firstLine="640" w:firstLineChars="20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4.评价等级设置为：优秀95分以上（含95分）、良好80分-94分（含80分）、合格60分-79分（含60分）、不合格（60分以下）四个等级。</w:t>
      </w:r>
    </w:p>
    <w:p w14:paraId="32F43FCF">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《隆尧县城关校区德兴路小学新建项目》绩效自评为 9</w:t>
      </w:r>
      <w:r>
        <w:rPr>
          <w:rFonts w:hint="eastAsia" w:ascii="仿宋国标2312" w:eastAsia="仿宋国标2312"/>
          <w:color w:val="000000" w:themeColor="text1"/>
          <w:sz w:val="32"/>
          <w:szCs w:val="32"/>
          <w:lang w:val="en-US" w:eastAsia="zh-CN"/>
        </w:rPr>
        <w:t>1.1</w:t>
      </w:r>
      <w:r>
        <w:rPr>
          <w:rFonts w:hint="eastAsia" w:ascii="仿宋国标2312" w:eastAsia="仿宋国标2312"/>
          <w:color w:val="000000" w:themeColor="text1"/>
          <w:sz w:val="32"/>
          <w:szCs w:val="32"/>
        </w:rPr>
        <w:t>分，自评结果为</w:t>
      </w:r>
      <w:r>
        <w:rPr>
          <w:rFonts w:hint="eastAsia" w:ascii="仿宋国标2312" w:eastAsia="仿宋国标2312"/>
          <w:color w:val="000000" w:themeColor="text1"/>
          <w:sz w:val="32"/>
          <w:szCs w:val="32"/>
          <w:lang w:val="en-US" w:eastAsia="zh-CN"/>
        </w:rPr>
        <w:t>良好</w:t>
      </w:r>
      <w:r>
        <w:rPr>
          <w:rFonts w:hint="eastAsia" w:ascii="仿宋国标2312" w:eastAsia="仿宋国标2312"/>
          <w:color w:val="000000" w:themeColor="text1"/>
          <w:sz w:val="32"/>
          <w:szCs w:val="32"/>
        </w:rPr>
        <w:t>。</w:t>
      </w:r>
    </w:p>
    <w:p w14:paraId="64D8B3C9">
      <w:pPr>
        <w:spacing w:line="580" w:lineRule="exact"/>
        <w:outlineLvl w:val="0"/>
        <w:rPr>
          <w:rFonts w:hint="eastAsia" w:ascii="仿宋国标2312" w:hAnsi="仿宋_GB2312" w:eastAsia="仿宋国标2312" w:cs="仿宋_GB2312"/>
          <w:sz w:val="32"/>
          <w:szCs w:val="32"/>
        </w:rPr>
      </w:pPr>
      <w:bookmarkStart w:id="85" w:name="_Toc22222"/>
      <w:bookmarkStart w:id="86" w:name="_Toc30508"/>
      <w:bookmarkStart w:id="87" w:name="_Toc6105"/>
      <w:bookmarkStart w:id="88" w:name="_Toc20748"/>
      <w:bookmarkStart w:id="89" w:name="_Toc10113"/>
      <w:bookmarkStart w:id="90" w:name="_Toc18842"/>
      <w:bookmarkStart w:id="91" w:name="_Toc21014"/>
      <w:bookmarkStart w:id="92" w:name="_Toc5623"/>
      <w:bookmarkStart w:id="93" w:name="_Toc17025"/>
      <w:bookmarkStart w:id="94" w:name="_Toc28621"/>
      <w:r>
        <w:rPr>
          <w:rFonts w:hint="eastAsia" w:ascii="仿宋国标2312" w:hAnsi="仿宋_GB2312" w:eastAsia="仿宋国标2312" w:cs="仿宋_GB2312"/>
          <w:b/>
          <w:bCs/>
          <w:sz w:val="32"/>
          <w:szCs w:val="32"/>
        </w:rPr>
        <w:t>四、绩效评价指标体系及得分情况</w:t>
      </w:r>
      <w:bookmarkEnd w:id="85"/>
      <w:bookmarkEnd w:id="86"/>
      <w:bookmarkEnd w:id="87"/>
      <w:bookmarkEnd w:id="88"/>
      <w:bookmarkEnd w:id="89"/>
      <w:bookmarkEnd w:id="90"/>
      <w:bookmarkEnd w:id="91"/>
      <w:bookmarkEnd w:id="92"/>
      <w:bookmarkEnd w:id="93"/>
      <w:bookmarkEnd w:id="94"/>
    </w:p>
    <w:p w14:paraId="388C5E68">
      <w:pPr>
        <w:jc w:val="center"/>
        <w:rPr>
          <w:rFonts w:hint="eastAsia" w:ascii="仿宋国标2312" w:hAnsi="仿宋_GB2312" w:eastAsia="仿宋国标2312" w:cs="仿宋_GB2312"/>
          <w:b/>
          <w:color w:val="000000"/>
          <w:kern w:val="0"/>
          <w:sz w:val="28"/>
          <w:szCs w:val="28"/>
        </w:rPr>
      </w:pPr>
      <w:r>
        <w:rPr>
          <w:rFonts w:hint="eastAsia" w:ascii="仿宋国标2312" w:hAnsi="仿宋_GB2312" w:eastAsia="仿宋国标2312" w:cs="仿宋_GB2312"/>
          <w:b/>
          <w:color w:val="000000"/>
          <w:kern w:val="0"/>
          <w:sz w:val="28"/>
          <w:szCs w:val="28"/>
        </w:rPr>
        <w:t>隆尧县城关校区德兴路小学新建项目重点绩效评价指标表</w:t>
      </w:r>
    </w:p>
    <w:tbl>
      <w:tblPr>
        <w:tblStyle w:val="7"/>
        <w:tblW w:w="9098" w:type="dxa"/>
        <w:tblInd w:w="-130" w:type="dxa"/>
        <w:tblLayout w:type="fixed"/>
        <w:tblCellMar>
          <w:top w:w="0" w:type="dxa"/>
          <w:left w:w="0" w:type="dxa"/>
          <w:bottom w:w="0" w:type="dxa"/>
          <w:right w:w="0" w:type="dxa"/>
        </w:tblCellMar>
      </w:tblPr>
      <w:tblGrid>
        <w:gridCol w:w="1276"/>
        <w:gridCol w:w="491"/>
        <w:gridCol w:w="2498"/>
        <w:gridCol w:w="426"/>
        <w:gridCol w:w="3673"/>
        <w:gridCol w:w="734"/>
      </w:tblGrid>
      <w:tr w14:paraId="7E24C21F">
        <w:tblPrEx>
          <w:tblCellMar>
            <w:top w:w="0" w:type="dxa"/>
            <w:left w:w="0" w:type="dxa"/>
            <w:bottom w:w="0" w:type="dxa"/>
            <w:right w:w="0" w:type="dxa"/>
          </w:tblCellMar>
        </w:tblPrEx>
        <w:trPr>
          <w:trHeight w:val="2098"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313069C6">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9916327">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AAD123E">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426"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56FC945F">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67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C8B824D">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734"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CE18EE5">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14:paraId="09427885">
        <w:tblPrEx>
          <w:tblCellMar>
            <w:top w:w="0" w:type="dxa"/>
            <w:left w:w="0" w:type="dxa"/>
            <w:bottom w:w="0" w:type="dxa"/>
            <w:right w:w="0" w:type="dxa"/>
          </w:tblCellMar>
        </w:tblPrEx>
        <w:trPr>
          <w:trHeight w:val="716"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6805D19">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2621A5">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B1C2AB0">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26"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05A853D8">
            <w:pPr>
              <w:jc w:val="center"/>
              <w:rPr>
                <w:rFonts w:ascii="仿宋_GB2312" w:hAnsi="仿宋_GB2312" w:eastAsia="仿宋_GB2312" w:cs="仿宋_GB2312"/>
                <w:b/>
                <w:color w:val="000000"/>
                <w:sz w:val="24"/>
              </w:rPr>
            </w:pPr>
          </w:p>
        </w:tc>
        <w:tc>
          <w:tcPr>
            <w:tcW w:w="367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621911">
            <w:pPr>
              <w:jc w:val="center"/>
              <w:rPr>
                <w:rFonts w:ascii="仿宋_GB2312" w:hAnsi="仿宋_GB2312" w:eastAsia="仿宋_GB2312" w:cs="仿宋_GB2312"/>
                <w:b/>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50E947E">
            <w:pPr>
              <w:jc w:val="center"/>
              <w:rPr>
                <w:rFonts w:ascii="仿宋_GB2312" w:hAnsi="仿宋_GB2312" w:eastAsia="仿宋_GB2312" w:cs="仿宋_GB2312"/>
                <w:b/>
                <w:color w:val="000000"/>
                <w:sz w:val="24"/>
              </w:rPr>
            </w:pPr>
          </w:p>
        </w:tc>
      </w:tr>
      <w:tr w14:paraId="67437C2B">
        <w:tblPrEx>
          <w:tblCellMar>
            <w:top w:w="0" w:type="dxa"/>
            <w:left w:w="0" w:type="dxa"/>
            <w:bottom w:w="0" w:type="dxa"/>
            <w:right w:w="0" w:type="dxa"/>
          </w:tblCellMar>
        </w:tblPrEx>
        <w:trPr>
          <w:trHeight w:val="835"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778C06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3E913A">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40BEF02">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514852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1BD2F09">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有政府相关政策、规划、任务等文件得7.5分；无不得分。</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DDC1231">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332E4F57">
        <w:tblPrEx>
          <w:tblCellMar>
            <w:top w:w="0" w:type="dxa"/>
            <w:left w:w="0" w:type="dxa"/>
            <w:bottom w:w="0" w:type="dxa"/>
            <w:right w:w="0" w:type="dxa"/>
          </w:tblCellMar>
        </w:tblPrEx>
        <w:trPr>
          <w:trHeight w:val="191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A2325AF">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7444D5">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9162DCB">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13DEE21">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D7F0D35">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Cs w:val="22"/>
              </w:rPr>
              <w:t>工作活动与部门职责、工作规划和重点</w:t>
            </w:r>
            <w:r>
              <w:rPr>
                <w:rFonts w:hint="eastAsia" w:ascii="仿宋_GB2312" w:hAnsi="仿宋_GB2312" w:eastAsia="仿宋_GB2312" w:cs="仿宋_GB2312"/>
                <w:color w:val="000000"/>
                <w:kern w:val="0"/>
                <w:sz w:val="20"/>
                <w:szCs w:val="22"/>
              </w:rPr>
              <w:t>工作相关，工作活动项下确定的预算项目合理，与工作活动密切相关，工作活动和项目预算安排合理，得7.5分；否则</w:t>
            </w:r>
            <w:r>
              <w:rPr>
                <w:rFonts w:hint="eastAsia" w:ascii="仿宋_GB2312" w:hAnsi="仿宋_GB2312" w:eastAsia="仿宋_GB2312" w:cs="仿宋_GB2312"/>
                <w:color w:val="000000"/>
                <w:kern w:val="0"/>
                <w:szCs w:val="22"/>
              </w:rPr>
              <w:t>不得分</w:t>
            </w:r>
            <w:r>
              <w:rPr>
                <w:rFonts w:hint="eastAsia" w:ascii="仿宋_GB2312" w:hAnsi="仿宋_GB2312" w:eastAsia="仿宋_GB2312" w:cs="仿宋_GB2312"/>
                <w:color w:val="000000"/>
                <w:kern w:val="0"/>
                <w:sz w:val="22"/>
                <w:szCs w:val="22"/>
              </w:rPr>
              <w:t>。</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BA816D9">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6643F27F">
        <w:tblPrEx>
          <w:tblCellMar>
            <w:top w:w="0" w:type="dxa"/>
            <w:left w:w="0" w:type="dxa"/>
            <w:bottom w:w="0" w:type="dxa"/>
            <w:right w:w="0" w:type="dxa"/>
          </w:tblCellMar>
        </w:tblPrEx>
        <w:trPr>
          <w:trHeight w:val="302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FBCFAF">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F10CEA">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99EDBD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1951E2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A992202">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②是否通过清晰、可衡量的指标值予以体现；</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③是否与项目年度任务数或计划数相对应；</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④是否与预算确定的项目投资额或资金量相匹配。</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缺少一项扣2分,扣完为止。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623CF9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2EAD1066">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8FF2ED">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73B37CC">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ED2CE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F4E457A">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4C27744">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是否有绩效评价报告，报告是否依据充分、内容真实完整；数据准确、分析透彻。每存在一项问题扣1分，扣完为止。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5B6B1DA">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4C8817EE">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532370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FB43B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210AC2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5F6D60E">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72371F8">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预算调整率=（预算调整数/预算数）×100%。预算调整率每大于1%扣0.5分，扣完为止。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286F692">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14:paraId="153C1A2D">
        <w:tblPrEx>
          <w:tblCellMar>
            <w:top w:w="0" w:type="dxa"/>
            <w:left w:w="0" w:type="dxa"/>
            <w:bottom w:w="0" w:type="dxa"/>
            <w:right w:w="0" w:type="dxa"/>
          </w:tblCellMar>
        </w:tblPrEx>
        <w:trPr>
          <w:trHeight w:val="2160"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14:paraId="56F957BE">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AC55A7">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2E4522D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AE1B7FE">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c>
          <w:tcPr>
            <w:tcW w:w="3673"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021511D9">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B41022E">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r>
      <w:tr w14:paraId="40BFD49F">
        <w:tblPrEx>
          <w:tblCellMar>
            <w:top w:w="0" w:type="dxa"/>
            <w:left w:w="0" w:type="dxa"/>
            <w:bottom w:w="0" w:type="dxa"/>
            <w:right w:w="0" w:type="dxa"/>
          </w:tblCellMar>
        </w:tblPrEx>
        <w:trPr>
          <w:trHeight w:val="171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14006D9D">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BA546B">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52BB2C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12031E5">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525E563">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E17743">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4.1</w:t>
            </w:r>
          </w:p>
        </w:tc>
      </w:tr>
      <w:tr w14:paraId="076A8CAA">
        <w:tblPrEx>
          <w:tblCellMar>
            <w:top w:w="0" w:type="dxa"/>
            <w:left w:w="0" w:type="dxa"/>
            <w:bottom w:w="0" w:type="dxa"/>
            <w:right w:w="0" w:type="dxa"/>
          </w:tblCellMar>
        </w:tblPrEx>
        <w:trPr>
          <w:trHeight w:val="1755"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6389124F">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E9EDC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687BF0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D83D1B1">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9D82DB5">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CAF4228">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4</w:t>
            </w:r>
          </w:p>
        </w:tc>
      </w:tr>
      <w:tr w14:paraId="30246D8B">
        <w:tblPrEx>
          <w:tblCellMar>
            <w:top w:w="0" w:type="dxa"/>
            <w:left w:w="0" w:type="dxa"/>
            <w:bottom w:w="0" w:type="dxa"/>
            <w:right w:w="0" w:type="dxa"/>
          </w:tblCellMar>
        </w:tblPrEx>
        <w:trPr>
          <w:trHeight w:val="1711"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362B70A9">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F8D4F3">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E93087A">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2BE971A">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981DBAB">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Cs w:val="22"/>
              </w:rPr>
              <w:t>制定管理制度和措施（包括财务制度）是否明确、清晰、具有可操作性，能否保障工作活动顺利实施。每缺少一项制度扣2分，扣完为止。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4741428">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8</w:t>
            </w:r>
          </w:p>
        </w:tc>
      </w:tr>
      <w:tr w14:paraId="423B4182">
        <w:tblPrEx>
          <w:tblCellMar>
            <w:top w:w="0" w:type="dxa"/>
            <w:left w:w="0" w:type="dxa"/>
            <w:bottom w:w="0" w:type="dxa"/>
            <w:right w:w="0" w:type="dxa"/>
          </w:tblCellMar>
        </w:tblPrEx>
        <w:trPr>
          <w:trHeight w:val="841"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496EAEC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“工作活动”产出（30分）</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5DD10A">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8789FB">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新建建校舍面积</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0BBEF64">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9525628">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按照合作办学协议执行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AD3D05D">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7</w:t>
            </w:r>
          </w:p>
        </w:tc>
      </w:tr>
      <w:tr w14:paraId="487F30DC">
        <w:tblPrEx>
          <w:tblCellMar>
            <w:top w:w="0" w:type="dxa"/>
            <w:left w:w="0" w:type="dxa"/>
            <w:bottom w:w="0" w:type="dxa"/>
            <w:right w:w="0" w:type="dxa"/>
          </w:tblCellMar>
        </w:tblPrEx>
        <w:trPr>
          <w:trHeight w:val="901"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26525CFA">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46E1A0E">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FED8F52">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工程验收合格率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8CF652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63EAF19">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按照《项目绩效目标》执行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68531BB">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r>
      <w:tr w14:paraId="5E2CA6CE">
        <w:tblPrEx>
          <w:tblCellMar>
            <w:top w:w="0" w:type="dxa"/>
            <w:left w:w="0" w:type="dxa"/>
            <w:bottom w:w="0" w:type="dxa"/>
            <w:right w:w="0" w:type="dxa"/>
          </w:tblCellMar>
        </w:tblPrEx>
        <w:trPr>
          <w:trHeight w:val="808"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926579">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34913D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F8C4A23">
            <w:pPr>
              <w:widowControl/>
              <w:ind w:firstLine="220" w:firstLineChars="100"/>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工程按期完成率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4A9BE61">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C9FD4E">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按照《项目绩效目标》执行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ECE24C4">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r>
      <w:tr w14:paraId="1551A016">
        <w:tblPrEx>
          <w:tblCellMar>
            <w:top w:w="0" w:type="dxa"/>
            <w:left w:w="0" w:type="dxa"/>
            <w:bottom w:w="0" w:type="dxa"/>
            <w:right w:w="0" w:type="dxa"/>
          </w:tblCellMar>
        </w:tblPrEx>
        <w:trPr>
          <w:trHeight w:val="802"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113DBB1F">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“工作活动”效果（10分）</w:t>
            </w: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39F5E9D7">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4C2C46F">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学生和学生家长满意度</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13F6261">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0F3BBAE">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sz w:val="22"/>
                <w:szCs w:val="22"/>
              </w:rPr>
              <w:t>按照《项目绩效目标》执行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0072B48">
            <w:pPr>
              <w:widowControl/>
              <w:jc w:val="center"/>
              <w:textAlignment w:val="center"/>
              <w:rPr>
                <w:rFonts w:hint="default"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8</w:t>
            </w:r>
          </w:p>
        </w:tc>
      </w:tr>
      <w:tr w14:paraId="5D8E0722">
        <w:tblPrEx>
          <w:tblCellMar>
            <w:top w:w="0" w:type="dxa"/>
            <w:left w:w="0" w:type="dxa"/>
            <w:bottom w:w="0" w:type="dxa"/>
            <w:right w:w="0" w:type="dxa"/>
          </w:tblCellMar>
        </w:tblPrEx>
        <w:trPr>
          <w:trHeight w:val="602"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5C38DC">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1760AE0">
            <w:pPr>
              <w:jc w:val="center"/>
              <w:rPr>
                <w:rFonts w:ascii="仿宋_GB2312" w:hAnsi="仿宋_GB2312" w:eastAsia="仿宋_GB2312" w:cs="仿宋_GB231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A8D5268">
            <w:pPr>
              <w:widowControl/>
              <w:jc w:val="center"/>
              <w:textAlignment w:val="center"/>
              <w:rPr>
                <w:rFonts w:ascii="仿宋_GB2312" w:hAnsi="仿宋_GB2312" w:eastAsia="仿宋_GB2312" w:cs="仿宋_GB2312"/>
                <w:color w:val="000000"/>
                <w:kern w:val="0"/>
                <w:sz w:val="22"/>
                <w:szCs w:val="22"/>
              </w:rPr>
            </w:pP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BF1406">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77FA5BF">
            <w:pPr>
              <w:widowControl/>
              <w:jc w:val="left"/>
              <w:textAlignment w:val="center"/>
              <w:rPr>
                <w:rFonts w:ascii="仿宋_GB2312" w:hAnsi="仿宋_GB2312" w:eastAsia="仿宋_GB2312" w:cs="仿宋_GB2312"/>
                <w:color w:val="000000"/>
                <w:kern w:val="0"/>
                <w:sz w:val="22"/>
                <w:szCs w:val="22"/>
              </w:rPr>
            </w:pP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9DFBB98">
            <w:pPr>
              <w:widowControl/>
              <w:jc w:val="center"/>
              <w:textAlignment w:val="center"/>
              <w:rPr>
                <w:rFonts w:hint="default"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91.1</w:t>
            </w:r>
          </w:p>
        </w:tc>
      </w:tr>
    </w:tbl>
    <w:p w14:paraId="20E3C22A">
      <w:pPr>
        <w:pStyle w:val="2"/>
        <w:rPr>
          <w:rFonts w:hint="eastAsia"/>
        </w:rPr>
      </w:pPr>
    </w:p>
    <w:p w14:paraId="04685A1D">
      <w:pPr>
        <w:spacing w:line="560" w:lineRule="exact"/>
        <w:ind w:firstLine="640" w:firstLineChars="200"/>
        <w:outlineLvl w:val="1"/>
        <w:rPr>
          <w:rFonts w:hint="eastAsia" w:ascii="仿宋国标2312" w:hAnsi="仿宋_GB2312" w:eastAsia="仿宋国标2312" w:cs="仿宋_GB2312"/>
          <w:color w:val="000000"/>
          <w:sz w:val="32"/>
          <w:szCs w:val="32"/>
        </w:rPr>
      </w:pPr>
      <w:bookmarkStart w:id="95" w:name="_Toc2634_WPSOffice_Level1"/>
      <w:r>
        <w:rPr>
          <w:rFonts w:hint="eastAsia" w:ascii="仿宋国标2312" w:hAnsi="仿宋_GB2312" w:eastAsia="仿宋国标2312" w:cs="仿宋_GB2312"/>
          <w:color w:val="000000"/>
          <w:sz w:val="32"/>
          <w:szCs w:val="32"/>
        </w:rPr>
        <w:t>五、评价分析</w:t>
      </w:r>
      <w:bookmarkEnd w:id="95"/>
    </w:p>
    <w:p w14:paraId="3AABC86E">
      <w:pPr>
        <w:spacing w:line="560" w:lineRule="exact"/>
        <w:ind w:firstLine="640" w:firstLineChars="200"/>
        <w:outlineLvl w:val="1"/>
        <w:rPr>
          <w:rFonts w:hint="eastAsia" w:ascii="仿宋国标2312" w:hAnsi="仿宋_GB2312" w:eastAsia="仿宋国标2312" w:cs="仿宋_GB2312"/>
          <w:color w:val="000000"/>
          <w:sz w:val="32"/>
          <w:szCs w:val="32"/>
        </w:rPr>
      </w:pPr>
      <w:r>
        <w:rPr>
          <w:rFonts w:hint="eastAsia" w:ascii="仿宋国标2312" w:hAnsi="仿宋_GB2312" w:eastAsia="仿宋国标2312" w:cs="仿宋_GB2312"/>
          <w:color w:val="000000"/>
          <w:sz w:val="32"/>
          <w:szCs w:val="32"/>
        </w:rPr>
        <w:t>（一）主要扣分事项及原因分析</w:t>
      </w:r>
    </w:p>
    <w:p w14:paraId="622C577E">
      <w:pPr>
        <w:ind w:firstLine="640" w:firstLineChars="200"/>
        <w:rPr>
          <w:rFonts w:hint="eastAsia" w:ascii="仿宋国标2312" w:hAnsi="仿宋" w:eastAsia="仿宋国标2312" w:cs="仿宋"/>
          <w:sz w:val="32"/>
          <w:szCs w:val="32"/>
        </w:rPr>
      </w:pPr>
      <w:r>
        <w:rPr>
          <w:rFonts w:hint="eastAsia" w:ascii="仿宋国标2312" w:hAnsi="仿宋" w:eastAsia="仿宋国标2312" w:cs="仿宋"/>
          <w:sz w:val="32"/>
          <w:szCs w:val="32"/>
        </w:rPr>
        <w:t>隆尧县城关校区德兴路小学新建项目，由于年前疫情原因，工程进度相对缓慢，没有达到施工计划要求。2023年我们将与中标单位积极联系，认真谋划工程进度，在保证质量前提下，努力推进工程进度，争取早日竣工投入使用，</w:t>
      </w:r>
      <w:r>
        <w:rPr>
          <w:rFonts w:hint="eastAsia" w:ascii="仿宋国标2312" w:hAnsi="仿宋" w:eastAsia="仿宋国标2312" w:cs="仿宋"/>
          <w:kern w:val="0"/>
          <w:sz w:val="32"/>
          <w:szCs w:val="32"/>
        </w:rPr>
        <w:t>造福隆尧广大学生。</w:t>
      </w:r>
    </w:p>
    <w:p w14:paraId="505E6A1A">
      <w:pPr>
        <w:spacing w:line="560" w:lineRule="exact"/>
        <w:ind w:firstLine="640" w:firstLineChars="200"/>
        <w:outlineLvl w:val="1"/>
        <w:rPr>
          <w:rFonts w:hint="eastAsia" w:ascii="仿宋国标2312" w:hAnsi="仿宋_GB2312" w:eastAsia="仿宋国标2312" w:cs="仿宋_GB2312"/>
          <w:color w:val="000000"/>
          <w:sz w:val="32"/>
          <w:szCs w:val="32"/>
        </w:rPr>
      </w:pPr>
      <w:r>
        <w:rPr>
          <w:rFonts w:hint="eastAsia" w:ascii="仿宋国标2312" w:hAnsi="仿宋_GB2312" w:eastAsia="仿宋国标2312" w:cs="仿宋_GB2312"/>
          <w:color w:val="000000"/>
          <w:sz w:val="32"/>
          <w:szCs w:val="32"/>
        </w:rPr>
        <w:t>六、意见及建议</w:t>
      </w:r>
    </w:p>
    <w:p w14:paraId="7B4F06FB">
      <w:pPr>
        <w:spacing w:line="560" w:lineRule="exact"/>
        <w:ind w:firstLine="640" w:firstLineChars="200"/>
        <w:outlineLvl w:val="1"/>
        <w:rPr>
          <w:rFonts w:hint="eastAsia" w:ascii="仿宋国标2312" w:hAnsi="仿宋" w:eastAsia="仿宋国标2312" w:cs="仿宋"/>
          <w:sz w:val="32"/>
          <w:szCs w:val="32"/>
        </w:rPr>
      </w:pPr>
      <w:r>
        <w:rPr>
          <w:rFonts w:hint="eastAsia" w:ascii="仿宋国标2312" w:hAnsi="仿宋" w:eastAsia="仿宋国标2312" w:cs="仿宋"/>
          <w:sz w:val="32"/>
          <w:szCs w:val="32"/>
        </w:rPr>
        <w:t>我校区虽然在项目的申请、资金下达、项目实施等方面严格按照规定的程序，但由于客观原因，年前项目推进不够顺利，在今后的工作中我们将狠抓细节管理，提高资金的使用效率，让教育经费更好的服务于教学，从而提升教学水平，使学生、家长、教职工以及社会对我校区的教学工作更加满意。</w:t>
      </w:r>
    </w:p>
    <w:p w14:paraId="72EE3FF4">
      <w:pPr>
        <w:pStyle w:val="2"/>
        <w:spacing w:line="560" w:lineRule="exact"/>
        <w:ind w:firstLine="320" w:firstLineChars="100"/>
        <w:outlineLvl w:val="0"/>
        <w:rPr>
          <w:rFonts w:hint="eastAsia" w:ascii="仿宋国标2312" w:hAnsi="仿宋_GB2312" w:eastAsia="仿宋国标2312" w:cs="仿宋_GB2312"/>
          <w:color w:val="000000"/>
          <w:sz w:val="32"/>
          <w:szCs w:val="32"/>
        </w:rPr>
      </w:pPr>
    </w:p>
    <w:p w14:paraId="0D64C42F">
      <w:pPr>
        <w:pStyle w:val="2"/>
        <w:spacing w:line="560" w:lineRule="exact"/>
        <w:ind w:firstLine="3520" w:firstLineChars="1100"/>
        <w:outlineLvl w:val="0"/>
        <w:rPr>
          <w:rFonts w:hint="eastAsia" w:ascii="仿宋国标2312" w:hAnsi="仿宋" w:eastAsia="仿宋国标2312" w:cs="仿宋"/>
          <w:color w:val="000000" w:themeColor="text1"/>
          <w:sz w:val="32"/>
          <w:szCs w:val="32"/>
        </w:rPr>
      </w:pPr>
    </w:p>
    <w:p w14:paraId="0C2FB21E">
      <w:pPr>
        <w:pStyle w:val="2"/>
        <w:spacing w:line="560" w:lineRule="exact"/>
        <w:ind w:firstLine="3520" w:firstLineChars="1100"/>
        <w:outlineLvl w:val="0"/>
        <w:rPr>
          <w:rFonts w:hint="eastAsia" w:ascii="仿宋国标2312" w:hAnsi="仿宋" w:eastAsia="仿宋国标2312" w:cs="仿宋"/>
          <w:color w:val="000000" w:themeColor="text1"/>
          <w:sz w:val="32"/>
          <w:szCs w:val="32"/>
        </w:rPr>
      </w:pPr>
    </w:p>
    <w:p w14:paraId="6130DA86">
      <w:pPr>
        <w:pStyle w:val="2"/>
        <w:spacing w:line="560" w:lineRule="exact"/>
        <w:ind w:firstLine="3520" w:firstLineChars="1100"/>
        <w:outlineLvl w:val="0"/>
        <w:rPr>
          <w:rFonts w:hint="eastAsia" w:ascii="仿宋国标2312" w:hAnsi="仿宋" w:eastAsia="仿宋国标2312" w:cs="仿宋"/>
          <w:color w:val="000000" w:themeColor="text1"/>
          <w:sz w:val="32"/>
          <w:szCs w:val="32"/>
        </w:rPr>
      </w:pPr>
    </w:p>
    <w:p w14:paraId="0FDDC41F">
      <w:pPr>
        <w:pStyle w:val="2"/>
        <w:spacing w:line="560" w:lineRule="exact"/>
        <w:ind w:firstLine="5120" w:firstLineChars="1600"/>
        <w:outlineLvl w:val="0"/>
        <w:rPr>
          <w:rFonts w:hint="eastAsia" w:ascii="仿宋国标2312" w:hAnsi="仿宋" w:eastAsia="仿宋国标2312" w:cs="仿宋"/>
          <w:color w:val="000000" w:themeColor="text1"/>
          <w:sz w:val="32"/>
          <w:szCs w:val="32"/>
        </w:rPr>
      </w:pPr>
      <w:r>
        <w:rPr>
          <w:rFonts w:hint="eastAsia" w:ascii="仿宋国标2312" w:hAnsi="仿宋" w:eastAsia="仿宋国标2312" w:cs="仿宋"/>
          <w:color w:val="000000" w:themeColor="text1"/>
          <w:sz w:val="32"/>
          <w:szCs w:val="32"/>
        </w:rPr>
        <w:t>隆尧县城关校区</w:t>
      </w:r>
    </w:p>
    <w:p w14:paraId="69DA4542">
      <w:pPr>
        <w:pStyle w:val="2"/>
        <w:spacing w:line="560" w:lineRule="exact"/>
        <w:ind w:firstLine="4960" w:firstLineChars="1550"/>
        <w:outlineLvl w:val="0"/>
        <w:rPr>
          <w:rFonts w:hint="eastAsia" w:ascii="仿宋国标2312" w:hAnsi="仿宋" w:eastAsia="仿宋国标2312" w:cs="仿宋"/>
          <w:color w:val="000000" w:themeColor="text1"/>
          <w:sz w:val="32"/>
          <w:szCs w:val="32"/>
        </w:rPr>
      </w:pPr>
      <w:r>
        <w:rPr>
          <w:rFonts w:hint="eastAsia" w:ascii="仿宋国标2312" w:hAnsi="仿宋" w:eastAsia="仿宋国标2312" w:cs="仿宋"/>
          <w:color w:val="000000" w:themeColor="text1"/>
          <w:sz w:val="32"/>
          <w:szCs w:val="32"/>
        </w:rPr>
        <w:t>2023年3月20日</w:t>
      </w:r>
    </w:p>
    <w:p w14:paraId="303A1AA3">
      <w:pPr>
        <w:pStyle w:val="2"/>
        <w:spacing w:line="560" w:lineRule="exact"/>
        <w:ind w:left="420" w:leftChars="200" w:firstLine="320" w:firstLineChars="100"/>
        <w:outlineLvl w:val="0"/>
        <w:rPr>
          <w:rFonts w:hint="eastAsia" w:ascii="仿宋国标2312" w:hAnsi="仿宋_GB2312" w:eastAsia="仿宋国标2312" w:cs="仿宋_GB2312"/>
          <w:color w:val="000000"/>
          <w:sz w:val="32"/>
          <w:szCs w:val="32"/>
        </w:rPr>
      </w:pPr>
    </w:p>
    <w:p w14:paraId="042C818C">
      <w:pPr>
        <w:spacing w:line="560" w:lineRule="exact"/>
        <w:ind w:firstLine="640" w:firstLineChars="200"/>
        <w:outlineLvl w:val="1"/>
        <w:rPr>
          <w:rFonts w:hint="eastAsia" w:ascii="仿宋国标2312" w:hAnsi="仿宋_GB2312" w:eastAsia="仿宋国标2312" w:cs="仿宋_GB2312"/>
          <w:color w:val="000000"/>
          <w:sz w:val="32"/>
          <w:szCs w:val="32"/>
        </w:rPr>
      </w:pPr>
    </w:p>
    <w:p w14:paraId="39C5E015">
      <w:pPr>
        <w:rPr>
          <w:rFonts w:hint="eastAsia" w:ascii="仿宋国标2312" w:hAnsi="仿宋_GB2312" w:eastAsia="仿宋国标2312" w:cs="仿宋_GB2312"/>
          <w:sz w:val="32"/>
          <w:szCs w:val="32"/>
        </w:rPr>
      </w:pPr>
    </w:p>
    <w:sectPr>
      <w:headerReference r:id="rId3" w:type="default"/>
      <w:headerReference r:id="rId4" w:type="even"/>
      <w:pgSz w:w="11906" w:h="16838"/>
      <w:pgMar w:top="2154" w:right="1474" w:bottom="1984" w:left="1587" w:header="851" w:footer="992" w:gutter="0"/>
      <w:pgNumType w:start="1"/>
      <w:cols w:space="720" w:num="1"/>
      <w:docGrid w:type="lines" w:linePitch="317" w:charSpace="121"/>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国标2312">
    <w:altName w:val="宋体"/>
    <w:panose1 w:val="00000000000000000000"/>
    <w:charset w:val="86"/>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02588">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32CE4">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61EEBC"/>
    <w:multiLevelType w:val="singleLevel"/>
    <w:tmpl w:val="FB61EEB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11"/>
  <w:drawingGridVerticalSpacing w:val="31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cyODMxYTE0ZTc0ZGU3Y2QwODc3MzYzN2Q1YmNiM2EifQ=="/>
  </w:docVars>
  <w:rsids>
    <w:rsidRoot w:val="07CC499B"/>
    <w:rsid w:val="00011CDD"/>
    <w:rsid w:val="0002064B"/>
    <w:rsid w:val="00020A97"/>
    <w:rsid w:val="00034F67"/>
    <w:rsid w:val="00092B14"/>
    <w:rsid w:val="000A67EF"/>
    <w:rsid w:val="000D29D6"/>
    <w:rsid w:val="000D47D0"/>
    <w:rsid w:val="000D6D3F"/>
    <w:rsid w:val="001373BE"/>
    <w:rsid w:val="001B566A"/>
    <w:rsid w:val="001F3212"/>
    <w:rsid w:val="00216E3D"/>
    <w:rsid w:val="002707C6"/>
    <w:rsid w:val="00280F82"/>
    <w:rsid w:val="00283CF5"/>
    <w:rsid w:val="00294BE6"/>
    <w:rsid w:val="002E358F"/>
    <w:rsid w:val="003170CE"/>
    <w:rsid w:val="0031774E"/>
    <w:rsid w:val="00326D45"/>
    <w:rsid w:val="00377650"/>
    <w:rsid w:val="003B0FEE"/>
    <w:rsid w:val="003C4354"/>
    <w:rsid w:val="003D2EC1"/>
    <w:rsid w:val="003D5350"/>
    <w:rsid w:val="00401872"/>
    <w:rsid w:val="00402171"/>
    <w:rsid w:val="00402873"/>
    <w:rsid w:val="004526F0"/>
    <w:rsid w:val="00470B89"/>
    <w:rsid w:val="00482CDE"/>
    <w:rsid w:val="00547DAD"/>
    <w:rsid w:val="005973BD"/>
    <w:rsid w:val="005C4154"/>
    <w:rsid w:val="006020DC"/>
    <w:rsid w:val="00621F6B"/>
    <w:rsid w:val="00645DBC"/>
    <w:rsid w:val="006C4C3E"/>
    <w:rsid w:val="006D5576"/>
    <w:rsid w:val="007812E3"/>
    <w:rsid w:val="00814E39"/>
    <w:rsid w:val="00824194"/>
    <w:rsid w:val="00852C71"/>
    <w:rsid w:val="00890A3E"/>
    <w:rsid w:val="008A5BF6"/>
    <w:rsid w:val="008A5ECE"/>
    <w:rsid w:val="008C7CF4"/>
    <w:rsid w:val="00902F8B"/>
    <w:rsid w:val="0090600E"/>
    <w:rsid w:val="00926B0C"/>
    <w:rsid w:val="00952879"/>
    <w:rsid w:val="009529A4"/>
    <w:rsid w:val="009A30DD"/>
    <w:rsid w:val="009C615D"/>
    <w:rsid w:val="00A02C66"/>
    <w:rsid w:val="00A21467"/>
    <w:rsid w:val="00A30CDA"/>
    <w:rsid w:val="00A81D6C"/>
    <w:rsid w:val="00AA408D"/>
    <w:rsid w:val="00AB413B"/>
    <w:rsid w:val="00AB5695"/>
    <w:rsid w:val="00AE5094"/>
    <w:rsid w:val="00B121B0"/>
    <w:rsid w:val="00B452B5"/>
    <w:rsid w:val="00B60E03"/>
    <w:rsid w:val="00C955EE"/>
    <w:rsid w:val="00D13BE3"/>
    <w:rsid w:val="00D24869"/>
    <w:rsid w:val="00D25A69"/>
    <w:rsid w:val="00D25CC3"/>
    <w:rsid w:val="00D311FC"/>
    <w:rsid w:val="00D3165F"/>
    <w:rsid w:val="00D32109"/>
    <w:rsid w:val="00D471F4"/>
    <w:rsid w:val="00D5394A"/>
    <w:rsid w:val="00D623B4"/>
    <w:rsid w:val="00D62CD5"/>
    <w:rsid w:val="00D91EE3"/>
    <w:rsid w:val="00D93A29"/>
    <w:rsid w:val="00DB6DF3"/>
    <w:rsid w:val="00E30CAE"/>
    <w:rsid w:val="00E310A2"/>
    <w:rsid w:val="00E41AC7"/>
    <w:rsid w:val="00E52614"/>
    <w:rsid w:val="00EC47D0"/>
    <w:rsid w:val="00EF2449"/>
    <w:rsid w:val="00EF2BA5"/>
    <w:rsid w:val="00EF61E0"/>
    <w:rsid w:val="00EF6B85"/>
    <w:rsid w:val="00EF6DA3"/>
    <w:rsid w:val="00F66537"/>
    <w:rsid w:val="00F97733"/>
    <w:rsid w:val="00F978E0"/>
    <w:rsid w:val="00FA340E"/>
    <w:rsid w:val="00FA63DA"/>
    <w:rsid w:val="00FA7BCA"/>
    <w:rsid w:val="00FB6A11"/>
    <w:rsid w:val="00FD08D4"/>
    <w:rsid w:val="00FD4127"/>
    <w:rsid w:val="01B67D1F"/>
    <w:rsid w:val="01CA2AF2"/>
    <w:rsid w:val="03274687"/>
    <w:rsid w:val="04064A0C"/>
    <w:rsid w:val="04321BCD"/>
    <w:rsid w:val="04FF4482"/>
    <w:rsid w:val="057A0A50"/>
    <w:rsid w:val="064C4C17"/>
    <w:rsid w:val="076C3175"/>
    <w:rsid w:val="07CC499B"/>
    <w:rsid w:val="0815567D"/>
    <w:rsid w:val="0909607F"/>
    <w:rsid w:val="09A64785"/>
    <w:rsid w:val="0A1E2D9A"/>
    <w:rsid w:val="0A3B4E4B"/>
    <w:rsid w:val="0B601B06"/>
    <w:rsid w:val="0BEB58BF"/>
    <w:rsid w:val="0C15027B"/>
    <w:rsid w:val="0C3B2A49"/>
    <w:rsid w:val="0DAA4EE9"/>
    <w:rsid w:val="0E3117D9"/>
    <w:rsid w:val="102B0836"/>
    <w:rsid w:val="1064155D"/>
    <w:rsid w:val="1156122B"/>
    <w:rsid w:val="11F11891"/>
    <w:rsid w:val="12C35BB4"/>
    <w:rsid w:val="140849FA"/>
    <w:rsid w:val="14583EA3"/>
    <w:rsid w:val="151D09B5"/>
    <w:rsid w:val="15296A0F"/>
    <w:rsid w:val="1689469A"/>
    <w:rsid w:val="16DB1E7D"/>
    <w:rsid w:val="178C6C5A"/>
    <w:rsid w:val="17CD646A"/>
    <w:rsid w:val="184F3049"/>
    <w:rsid w:val="1B3F225B"/>
    <w:rsid w:val="1B4269FF"/>
    <w:rsid w:val="1D116D40"/>
    <w:rsid w:val="1D4B3C83"/>
    <w:rsid w:val="1DBD7AB3"/>
    <w:rsid w:val="1E0B387E"/>
    <w:rsid w:val="21460607"/>
    <w:rsid w:val="21FF1E9B"/>
    <w:rsid w:val="23C1122C"/>
    <w:rsid w:val="243D751D"/>
    <w:rsid w:val="24522B03"/>
    <w:rsid w:val="25ED2FD4"/>
    <w:rsid w:val="264A346A"/>
    <w:rsid w:val="270A41B9"/>
    <w:rsid w:val="274B3C4E"/>
    <w:rsid w:val="285356FD"/>
    <w:rsid w:val="288E37E0"/>
    <w:rsid w:val="290243B4"/>
    <w:rsid w:val="2A5C748F"/>
    <w:rsid w:val="2B10000E"/>
    <w:rsid w:val="2B2D56DA"/>
    <w:rsid w:val="2D391E20"/>
    <w:rsid w:val="30785FD3"/>
    <w:rsid w:val="31702E0D"/>
    <w:rsid w:val="32FA61FC"/>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BD23ED8"/>
    <w:rsid w:val="4C2846CD"/>
    <w:rsid w:val="4C7A4C55"/>
    <w:rsid w:val="4F6A54EE"/>
    <w:rsid w:val="4FDF6ED1"/>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4165E4C"/>
    <w:rsid w:val="6536013A"/>
    <w:rsid w:val="65647F09"/>
    <w:rsid w:val="68DA698B"/>
    <w:rsid w:val="6A3E1F45"/>
    <w:rsid w:val="6B67275E"/>
    <w:rsid w:val="6CCC6D4C"/>
    <w:rsid w:val="6D5F4EC3"/>
    <w:rsid w:val="6E3F5A2C"/>
    <w:rsid w:val="7008088F"/>
    <w:rsid w:val="712634CC"/>
    <w:rsid w:val="71A3781D"/>
    <w:rsid w:val="724E698E"/>
    <w:rsid w:val="756501CF"/>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paragraph" w:customStyle="1" w:styleId="10">
    <w:name w:val="WPSOffice手动目录 1"/>
    <w:qFormat/>
    <w:uiPriority w:val="0"/>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2">
    <w:name w:val="页眉 Char"/>
    <w:basedOn w:val="8"/>
    <w:link w:val="5"/>
    <w:qFormat/>
    <w:uiPriority w:val="0"/>
    <w:rPr>
      <w:rFonts w:ascii="Calibri" w:hAnsi="Calibri"/>
      <w:kern w:val="2"/>
      <w:sz w:val="18"/>
      <w:szCs w:val="18"/>
    </w:rPr>
  </w:style>
  <w:style w:type="paragraph" w:customStyle="1" w:styleId="13">
    <w:name w:val="其他"/>
    <w:basedOn w:val="1"/>
    <w:qFormat/>
    <w:uiPriority w:val="0"/>
    <w:pPr>
      <w:jc w:val="left"/>
    </w:pPr>
    <w:rPr>
      <w:rFonts w:ascii="仿宋" w:hAnsi="仿宋" w:eastAsia="仿宋" w:cs="仿宋"/>
      <w:sz w:val="26"/>
      <w:szCs w:val="26"/>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2792</Words>
  <Characters>2960</Characters>
  <Lines>22</Lines>
  <Paragraphs>6</Paragraphs>
  <TotalTime>6</TotalTime>
  <ScaleCrop>false</ScaleCrop>
  <LinksUpToDate>false</LinksUpToDate>
  <CharactersWithSpaces>3016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齐赞法</cp:lastModifiedBy>
  <cp:lastPrinted>2023-03-21T14:01:00Z</cp:lastPrinted>
  <dcterms:modified xsi:type="dcterms:W3CDTF">2026-05-20T07:45:38Z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B8B7081E292C4966B6F18D25ACE9A442</vt:lpwstr>
  </property>
  <property fmtid="{D5CDD505-2E9C-101B-9397-08002B2CF9AE}" pid="4" name="KSOTemplateDocerSaveRecord">
    <vt:lpwstr>eyJoZGlkIjoiZTg1NGM5MzY4ZmUyZDFhOTM5ZDIwNDFhOWMxOGI2YmUiLCJ1c2VySWQiOiI2MjQzMDU2NzcifQ==</vt:lpwstr>
  </property>
</Properties>
</file>